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CC8B" w14:textId="6D9BB628" w:rsidR="00FC28C7" w:rsidRDefault="00DD7822">
      <w:pPr>
        <w:pStyle w:val="Ttulo"/>
      </w:pPr>
      <w:r>
        <w:t>A</w:t>
      </w:r>
      <w:r w:rsidR="00D0295B">
        <w:t>gua: episodios de contaminación química</w:t>
      </w:r>
    </w:p>
    <w:p w14:paraId="261623CE" w14:textId="77777777" w:rsidR="00E7484F" w:rsidRDefault="00E7484F">
      <w:pPr>
        <w:ind w:left="101"/>
        <w:jc w:val="both"/>
      </w:pPr>
    </w:p>
    <w:p w14:paraId="601387DB" w14:textId="429D42BD" w:rsidR="00FC28C7" w:rsidRDefault="00DD7822">
      <w:pPr>
        <w:ind w:left="101"/>
        <w:jc w:val="both"/>
      </w:pPr>
      <w:r>
        <w:t>Darner</w:t>
      </w:r>
      <w:r>
        <w:rPr>
          <w:spacing w:val="-3"/>
        </w:rPr>
        <w:t xml:space="preserve"> </w:t>
      </w:r>
      <w:r>
        <w:t>A.</w:t>
      </w:r>
      <w:r>
        <w:rPr>
          <w:spacing w:val="-4"/>
        </w:rPr>
        <w:t xml:space="preserve"> Mora</w:t>
      </w:r>
    </w:p>
    <w:p w14:paraId="684FB8B8" w14:textId="77777777" w:rsidR="00FC28C7" w:rsidRDefault="00DD7822">
      <w:pPr>
        <w:spacing w:before="1"/>
        <w:ind w:left="101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Salubrista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  <w:spacing w:val="-2"/>
        </w:rPr>
        <w:t>Público</w:t>
      </w:r>
    </w:p>
    <w:p w14:paraId="7DA535D3" w14:textId="77777777" w:rsidR="00CF34C4" w:rsidRDefault="00CF34C4" w:rsidP="0054092C">
      <w:pPr>
        <w:pStyle w:val="Textoindependiente"/>
        <w:spacing w:before="115" w:line="276" w:lineRule="auto"/>
        <w:ind w:left="0" w:right="107"/>
        <w:rPr>
          <w:sz w:val="21"/>
          <w:szCs w:val="21"/>
        </w:rPr>
      </w:pPr>
    </w:p>
    <w:p w14:paraId="12F4820E" w14:textId="733970B1" w:rsidR="0054092C" w:rsidRPr="00E46A61" w:rsidRDefault="00DD7822" w:rsidP="0054092C">
      <w:pPr>
        <w:pStyle w:val="Textoindependiente"/>
        <w:spacing w:before="115" w:line="276" w:lineRule="auto"/>
        <w:ind w:left="0" w:right="107"/>
        <w:rPr>
          <w:sz w:val="21"/>
          <w:szCs w:val="21"/>
        </w:rPr>
      </w:pPr>
      <w:r w:rsidRPr="00E46A61">
        <w:rPr>
          <w:sz w:val="21"/>
          <w:szCs w:val="21"/>
        </w:rPr>
        <w:t>Costa Rica dispone de</w:t>
      </w:r>
      <w:r w:rsidR="002177C0" w:rsidRPr="00E46A61">
        <w:rPr>
          <w:sz w:val="21"/>
          <w:szCs w:val="21"/>
        </w:rPr>
        <w:t xml:space="preserve"> </w:t>
      </w:r>
      <w:r w:rsidRPr="00E46A61">
        <w:rPr>
          <w:sz w:val="21"/>
          <w:szCs w:val="21"/>
        </w:rPr>
        <w:t>aproximadamente 25</w:t>
      </w:r>
      <w:r w:rsidR="002177C0" w:rsidRPr="00E46A61">
        <w:rPr>
          <w:sz w:val="21"/>
          <w:szCs w:val="21"/>
        </w:rPr>
        <w:t xml:space="preserve"> </w:t>
      </w:r>
      <w:r w:rsidRPr="00E46A61">
        <w:rPr>
          <w:sz w:val="21"/>
          <w:szCs w:val="21"/>
        </w:rPr>
        <w:t>000 m3 per- cápita de agua; el 66,25</w:t>
      </w:r>
      <w:r w:rsidR="002177C0" w:rsidRPr="00E46A61">
        <w:rPr>
          <w:sz w:val="21"/>
          <w:szCs w:val="21"/>
        </w:rPr>
        <w:t xml:space="preserve"> </w:t>
      </w:r>
      <w:r w:rsidRPr="00E46A61">
        <w:rPr>
          <w:sz w:val="21"/>
          <w:szCs w:val="21"/>
        </w:rPr>
        <w:t>% es escorrentía superficial y 33,75</w:t>
      </w:r>
      <w:r w:rsidR="002177C0" w:rsidRPr="00E46A61">
        <w:rPr>
          <w:sz w:val="21"/>
          <w:szCs w:val="21"/>
        </w:rPr>
        <w:t xml:space="preserve"> </w:t>
      </w:r>
      <w:r w:rsidRPr="00E46A61">
        <w:rPr>
          <w:sz w:val="21"/>
          <w:szCs w:val="21"/>
        </w:rPr>
        <w:t xml:space="preserve">% produce recarga de los acuíferos, lo que ubica a nuestro país como un territorio relativamente abundante en agua, pero que no está geográfica ni estacionalmente bien distribuido. </w:t>
      </w:r>
    </w:p>
    <w:p w14:paraId="2A8B31E1" w14:textId="23CFAD0F" w:rsidR="00FC28C7" w:rsidRPr="00E46A61" w:rsidRDefault="00DD7822" w:rsidP="0054092C">
      <w:pPr>
        <w:pStyle w:val="Textoindependiente"/>
        <w:spacing w:before="115" w:line="276" w:lineRule="auto"/>
        <w:ind w:left="0" w:right="107"/>
        <w:rPr>
          <w:sz w:val="21"/>
          <w:szCs w:val="21"/>
        </w:rPr>
      </w:pPr>
      <w:r w:rsidRPr="00E46A61">
        <w:rPr>
          <w:sz w:val="21"/>
          <w:szCs w:val="21"/>
        </w:rPr>
        <w:t>Algunos</w:t>
      </w:r>
      <w:r w:rsidR="0054092C" w:rsidRPr="00E46A61">
        <w:rPr>
          <w:sz w:val="21"/>
          <w:szCs w:val="21"/>
        </w:rPr>
        <w:t xml:space="preserve"> </w:t>
      </w:r>
      <w:r w:rsidRPr="00E46A61">
        <w:rPr>
          <w:sz w:val="21"/>
          <w:szCs w:val="21"/>
        </w:rPr>
        <w:t>laboratorios</w:t>
      </w:r>
      <w:r w:rsidR="0054092C" w:rsidRPr="00E46A61">
        <w:rPr>
          <w:sz w:val="21"/>
          <w:szCs w:val="21"/>
        </w:rPr>
        <w:t xml:space="preserve"> </w:t>
      </w:r>
      <w:r w:rsidRPr="00E46A61">
        <w:rPr>
          <w:sz w:val="21"/>
          <w:szCs w:val="21"/>
        </w:rPr>
        <w:t>de</w:t>
      </w:r>
      <w:r w:rsidR="0054092C" w:rsidRPr="00E46A61">
        <w:rPr>
          <w:sz w:val="21"/>
          <w:szCs w:val="21"/>
        </w:rPr>
        <w:t xml:space="preserve"> </w:t>
      </w:r>
      <w:r w:rsidR="002177C0" w:rsidRPr="00E46A61">
        <w:rPr>
          <w:sz w:val="21"/>
          <w:szCs w:val="21"/>
        </w:rPr>
        <w:t>u</w:t>
      </w:r>
      <w:r w:rsidRPr="00E46A61">
        <w:rPr>
          <w:sz w:val="21"/>
          <w:szCs w:val="21"/>
        </w:rPr>
        <w:t xml:space="preserve">niversidades </w:t>
      </w:r>
      <w:r w:rsidR="002177C0" w:rsidRPr="00E46A61">
        <w:rPr>
          <w:sz w:val="21"/>
          <w:szCs w:val="21"/>
        </w:rPr>
        <w:t>p</w:t>
      </w:r>
      <w:r w:rsidRPr="00E46A61">
        <w:rPr>
          <w:sz w:val="21"/>
          <w:szCs w:val="21"/>
        </w:rPr>
        <w:t xml:space="preserve">úblicas y </w:t>
      </w:r>
      <w:r w:rsidR="002177C0" w:rsidRPr="00E46A61">
        <w:rPr>
          <w:sz w:val="21"/>
          <w:szCs w:val="21"/>
        </w:rPr>
        <w:t>d</w:t>
      </w:r>
      <w:r w:rsidRPr="00E46A61">
        <w:rPr>
          <w:sz w:val="21"/>
          <w:szCs w:val="21"/>
        </w:rPr>
        <w:t>el Laboratorio Nacional de Aguas (LNA) de</w:t>
      </w:r>
      <w:r w:rsidR="002177C0" w:rsidRPr="00E46A61">
        <w:rPr>
          <w:sz w:val="21"/>
          <w:szCs w:val="21"/>
        </w:rPr>
        <w:t>l</w:t>
      </w:r>
      <w:r w:rsidRPr="00E46A61">
        <w:rPr>
          <w:sz w:val="21"/>
          <w:szCs w:val="21"/>
        </w:rPr>
        <w:t xml:space="preserve"> AyA han realizado estudios sobre la calidad del agua en sus diferentes usos. Este último ha evaluado 2363 acueductos ubicados en el territorio nacional</w:t>
      </w:r>
      <w:r w:rsidR="002177C0" w:rsidRPr="00E46A61">
        <w:rPr>
          <w:sz w:val="21"/>
          <w:szCs w:val="21"/>
        </w:rPr>
        <w:t>,</w:t>
      </w:r>
      <w:r w:rsidRPr="00E46A61">
        <w:rPr>
          <w:sz w:val="21"/>
          <w:szCs w:val="21"/>
        </w:rPr>
        <w:t xml:space="preserve"> identificando 4580 fuentes de abastecimiento; de estas 321 son superficiales (48 con tratamiento convencional y 273 sin </w:t>
      </w:r>
      <w:r w:rsidR="002177C0" w:rsidRPr="00E46A61">
        <w:rPr>
          <w:sz w:val="21"/>
          <w:szCs w:val="21"/>
        </w:rPr>
        <w:t>él</w:t>
      </w:r>
      <w:r w:rsidRPr="00E46A61">
        <w:rPr>
          <w:sz w:val="21"/>
          <w:szCs w:val="21"/>
        </w:rPr>
        <w:t>) y 4259 son subterráneas (967 pozos y 3292 nacientes), que abastecen el 35</w:t>
      </w:r>
      <w:r w:rsidR="002177C0" w:rsidRPr="00E46A61">
        <w:rPr>
          <w:sz w:val="21"/>
          <w:szCs w:val="21"/>
        </w:rPr>
        <w:t xml:space="preserve"> </w:t>
      </w:r>
      <w:r w:rsidRPr="00E46A61">
        <w:rPr>
          <w:sz w:val="21"/>
          <w:szCs w:val="21"/>
        </w:rPr>
        <w:t>% y 65</w:t>
      </w:r>
      <w:r w:rsidR="002177C0" w:rsidRPr="00E46A61">
        <w:rPr>
          <w:sz w:val="21"/>
          <w:szCs w:val="21"/>
        </w:rPr>
        <w:t xml:space="preserve"> </w:t>
      </w:r>
      <w:r w:rsidRPr="00E46A61">
        <w:rPr>
          <w:sz w:val="21"/>
          <w:szCs w:val="21"/>
        </w:rPr>
        <w:t>% de la población del país, respectivamente.</w:t>
      </w:r>
    </w:p>
    <w:p w14:paraId="79830302" w14:textId="77777777" w:rsidR="00E7484F" w:rsidRPr="00E46A61" w:rsidRDefault="00DD7822" w:rsidP="00760F79">
      <w:pPr>
        <w:pStyle w:val="Textoindependiente"/>
        <w:spacing w:before="115" w:line="276" w:lineRule="auto"/>
        <w:ind w:left="0" w:right="107"/>
        <w:rPr>
          <w:sz w:val="21"/>
          <w:szCs w:val="21"/>
        </w:rPr>
      </w:pPr>
      <w:r w:rsidRPr="00E46A61">
        <w:rPr>
          <w:sz w:val="21"/>
          <w:szCs w:val="21"/>
        </w:rPr>
        <w:t>El principal riesgo de contaminación en la mayoría de estas fuentes</w:t>
      </w:r>
      <w:r w:rsidRPr="00E46A61">
        <w:rPr>
          <w:spacing w:val="-2"/>
          <w:sz w:val="21"/>
          <w:szCs w:val="21"/>
        </w:rPr>
        <w:t xml:space="preserve"> </w:t>
      </w:r>
      <w:r w:rsidRPr="00E46A61">
        <w:rPr>
          <w:sz w:val="21"/>
          <w:szCs w:val="21"/>
        </w:rPr>
        <w:t>de agua es de origen microbiológico, lo que se evidencia con la presencia de indicadores de contaminación fecal (</w:t>
      </w:r>
      <w:r w:rsidRPr="00E46A61">
        <w:rPr>
          <w:rFonts w:ascii="Arial" w:hAnsi="Arial"/>
          <w:i/>
          <w:sz w:val="21"/>
          <w:szCs w:val="21"/>
        </w:rPr>
        <w:t xml:space="preserve">Coliformes fecales </w:t>
      </w:r>
      <w:r w:rsidRPr="00E46A61">
        <w:rPr>
          <w:sz w:val="21"/>
          <w:szCs w:val="21"/>
        </w:rPr>
        <w:t xml:space="preserve">y </w:t>
      </w:r>
      <w:proofErr w:type="spellStart"/>
      <w:r w:rsidRPr="00E46A61">
        <w:rPr>
          <w:rFonts w:ascii="Arial" w:hAnsi="Arial"/>
          <w:i/>
          <w:sz w:val="21"/>
          <w:szCs w:val="21"/>
        </w:rPr>
        <w:t>Ecoli</w:t>
      </w:r>
      <w:proofErr w:type="spellEnd"/>
      <w:r w:rsidRPr="00E46A61">
        <w:rPr>
          <w:sz w:val="21"/>
          <w:szCs w:val="21"/>
        </w:rPr>
        <w:t>).</w:t>
      </w:r>
      <w:r w:rsidRPr="00E46A61">
        <w:rPr>
          <w:spacing w:val="80"/>
          <w:sz w:val="21"/>
          <w:szCs w:val="21"/>
        </w:rPr>
        <w:t xml:space="preserve"> </w:t>
      </w:r>
      <w:r w:rsidRPr="00E46A61">
        <w:rPr>
          <w:sz w:val="21"/>
          <w:szCs w:val="21"/>
        </w:rPr>
        <w:t xml:space="preserve">Sin embargo, en los últimos 12 años el LNA ha detectado y cuantificado otros episodios de contaminación química en varias fuentes de agua, tanto de origen antropogénico (causada por el ser humano) como natural. </w:t>
      </w:r>
    </w:p>
    <w:p w14:paraId="1B5C0C48" w14:textId="34FA184D" w:rsidR="009F494D" w:rsidRPr="00E46A61" w:rsidRDefault="00DD7822" w:rsidP="00760F79">
      <w:pPr>
        <w:pStyle w:val="Textoindependiente"/>
        <w:spacing w:before="115" w:line="276" w:lineRule="auto"/>
        <w:ind w:left="0" w:right="107"/>
        <w:rPr>
          <w:spacing w:val="-2"/>
          <w:sz w:val="21"/>
          <w:szCs w:val="21"/>
        </w:rPr>
      </w:pPr>
      <w:r w:rsidRPr="00E46A61">
        <w:rPr>
          <w:sz w:val="21"/>
          <w:szCs w:val="21"/>
        </w:rPr>
        <w:t xml:space="preserve">En lo que lleva el </w:t>
      </w:r>
      <w:r w:rsidR="002177C0" w:rsidRPr="00E46A61">
        <w:rPr>
          <w:sz w:val="21"/>
          <w:szCs w:val="21"/>
        </w:rPr>
        <w:t>s</w:t>
      </w:r>
      <w:r w:rsidRPr="00E46A61">
        <w:rPr>
          <w:sz w:val="21"/>
          <w:szCs w:val="21"/>
        </w:rPr>
        <w:t>iglo XXI se han atendido los siguientes eventos: hidrocarburos en la planta potabilizadora de Guadalupe (2001), río Quebradas de Pérez Zeledón (2002), planta Los Sitios de Moravia (2003), Planta Alta de Tres Ríos con agua del embalse</w:t>
      </w:r>
      <w:r w:rsidRPr="00E46A61">
        <w:rPr>
          <w:spacing w:val="-2"/>
          <w:sz w:val="21"/>
          <w:szCs w:val="21"/>
        </w:rPr>
        <w:t xml:space="preserve"> </w:t>
      </w:r>
      <w:r w:rsidRPr="00E46A61">
        <w:rPr>
          <w:sz w:val="21"/>
          <w:szCs w:val="21"/>
        </w:rPr>
        <w:t>El</w:t>
      </w:r>
      <w:r w:rsidRPr="00E46A61">
        <w:rPr>
          <w:spacing w:val="-3"/>
          <w:sz w:val="21"/>
          <w:szCs w:val="21"/>
        </w:rPr>
        <w:t xml:space="preserve"> </w:t>
      </w:r>
      <w:r w:rsidRPr="00E46A61">
        <w:rPr>
          <w:sz w:val="21"/>
          <w:szCs w:val="21"/>
        </w:rPr>
        <w:t>Llano</w:t>
      </w:r>
      <w:r w:rsidRPr="00E46A61">
        <w:rPr>
          <w:spacing w:val="-4"/>
          <w:sz w:val="21"/>
          <w:szCs w:val="21"/>
        </w:rPr>
        <w:t xml:space="preserve"> </w:t>
      </w:r>
      <w:r w:rsidRPr="00E46A61">
        <w:rPr>
          <w:sz w:val="21"/>
          <w:szCs w:val="21"/>
        </w:rPr>
        <w:t>en</w:t>
      </w:r>
      <w:r w:rsidRPr="00E46A61">
        <w:rPr>
          <w:spacing w:val="-2"/>
          <w:sz w:val="21"/>
          <w:szCs w:val="21"/>
        </w:rPr>
        <w:t xml:space="preserve"> </w:t>
      </w:r>
      <w:r w:rsidRPr="00E46A61">
        <w:rPr>
          <w:sz w:val="21"/>
          <w:szCs w:val="21"/>
        </w:rPr>
        <w:t>Orosi</w:t>
      </w:r>
      <w:r w:rsidRPr="00E46A61">
        <w:rPr>
          <w:spacing w:val="-3"/>
          <w:sz w:val="21"/>
          <w:szCs w:val="21"/>
        </w:rPr>
        <w:t xml:space="preserve"> </w:t>
      </w:r>
      <w:r w:rsidRPr="00E46A61">
        <w:rPr>
          <w:sz w:val="21"/>
          <w:szCs w:val="21"/>
        </w:rPr>
        <w:t>(2004),</w:t>
      </w:r>
      <w:r w:rsidRPr="00E46A61">
        <w:rPr>
          <w:spacing w:val="-2"/>
          <w:sz w:val="21"/>
          <w:szCs w:val="21"/>
        </w:rPr>
        <w:t xml:space="preserve"> </w:t>
      </w:r>
      <w:r w:rsidRPr="00E46A61">
        <w:rPr>
          <w:sz w:val="21"/>
          <w:szCs w:val="21"/>
        </w:rPr>
        <w:t>Pozo</w:t>
      </w:r>
      <w:r w:rsidRPr="00E46A61">
        <w:rPr>
          <w:spacing w:val="-2"/>
          <w:sz w:val="21"/>
          <w:szCs w:val="21"/>
        </w:rPr>
        <w:t xml:space="preserve"> </w:t>
      </w:r>
      <w:r w:rsidRPr="00E46A61">
        <w:rPr>
          <w:sz w:val="21"/>
          <w:szCs w:val="21"/>
        </w:rPr>
        <w:t>AB-1089</w:t>
      </w:r>
      <w:r w:rsidRPr="00E46A61">
        <w:rPr>
          <w:spacing w:val="-4"/>
          <w:sz w:val="21"/>
          <w:szCs w:val="21"/>
        </w:rPr>
        <w:t xml:space="preserve"> </w:t>
      </w:r>
      <w:r w:rsidRPr="00E46A61">
        <w:rPr>
          <w:sz w:val="21"/>
          <w:szCs w:val="21"/>
        </w:rPr>
        <w:t>en</w:t>
      </w:r>
      <w:r w:rsidRPr="00E46A61">
        <w:rPr>
          <w:spacing w:val="-2"/>
          <w:sz w:val="21"/>
          <w:szCs w:val="21"/>
        </w:rPr>
        <w:t xml:space="preserve"> </w:t>
      </w:r>
      <w:r w:rsidRPr="00E46A61">
        <w:rPr>
          <w:sz w:val="21"/>
          <w:szCs w:val="21"/>
        </w:rPr>
        <w:t>Barreal</w:t>
      </w:r>
      <w:r w:rsidRPr="00E46A61">
        <w:rPr>
          <w:spacing w:val="-3"/>
          <w:sz w:val="21"/>
          <w:szCs w:val="21"/>
        </w:rPr>
        <w:t xml:space="preserve"> </w:t>
      </w:r>
      <w:r w:rsidRPr="00E46A61">
        <w:rPr>
          <w:sz w:val="21"/>
          <w:szCs w:val="21"/>
        </w:rPr>
        <w:t>de</w:t>
      </w:r>
      <w:r w:rsidRPr="00E46A61">
        <w:rPr>
          <w:spacing w:val="-2"/>
          <w:sz w:val="21"/>
          <w:szCs w:val="21"/>
        </w:rPr>
        <w:t xml:space="preserve"> </w:t>
      </w:r>
      <w:r w:rsidRPr="00E46A61">
        <w:rPr>
          <w:sz w:val="21"/>
          <w:szCs w:val="21"/>
        </w:rPr>
        <w:t>Heredia</w:t>
      </w:r>
      <w:r w:rsidRPr="00E46A61">
        <w:rPr>
          <w:spacing w:val="-2"/>
          <w:sz w:val="21"/>
          <w:szCs w:val="21"/>
        </w:rPr>
        <w:t xml:space="preserve"> </w:t>
      </w:r>
      <w:r w:rsidRPr="00E46A61">
        <w:rPr>
          <w:sz w:val="21"/>
          <w:szCs w:val="21"/>
        </w:rPr>
        <w:t xml:space="preserve">(2005), nitratos en Banderillas de Cartago (2005), hidrocarburos en Fuentes de </w:t>
      </w:r>
      <w:proofErr w:type="spellStart"/>
      <w:r w:rsidRPr="00E46A61">
        <w:rPr>
          <w:sz w:val="21"/>
          <w:szCs w:val="21"/>
        </w:rPr>
        <w:t>Moín</w:t>
      </w:r>
      <w:proofErr w:type="spellEnd"/>
      <w:r w:rsidRPr="00E46A61">
        <w:rPr>
          <w:sz w:val="21"/>
          <w:szCs w:val="21"/>
        </w:rPr>
        <w:t xml:space="preserve"> (2006), causada por el incendio en Químicas Holanda, y en la planta de San Ignacio de Acosta (2007), plaguicidas en El Cairo, Milano y Luisiana de Siquirres por las plantaciones de piña (2003-2008) y Veracruz de San Carlos (2008-2009), nitratos en Tierra Blanca de Cartago (2009), arsénico en Cañas, Bagaces y</w:t>
      </w:r>
      <w:r w:rsidRPr="00E46A61">
        <w:rPr>
          <w:spacing w:val="-2"/>
          <w:sz w:val="21"/>
          <w:szCs w:val="21"/>
        </w:rPr>
        <w:t xml:space="preserve"> </w:t>
      </w:r>
      <w:r w:rsidRPr="00E46A61">
        <w:rPr>
          <w:sz w:val="21"/>
          <w:szCs w:val="21"/>
        </w:rPr>
        <w:t>El</w:t>
      </w:r>
      <w:r w:rsidRPr="00E46A61">
        <w:rPr>
          <w:spacing w:val="-2"/>
          <w:sz w:val="21"/>
          <w:szCs w:val="21"/>
        </w:rPr>
        <w:t xml:space="preserve"> </w:t>
      </w:r>
      <w:r w:rsidRPr="00E46A61">
        <w:rPr>
          <w:sz w:val="21"/>
          <w:szCs w:val="21"/>
        </w:rPr>
        <w:t>Jobo</w:t>
      </w:r>
      <w:r w:rsidRPr="00E46A61">
        <w:rPr>
          <w:spacing w:val="-1"/>
          <w:sz w:val="21"/>
          <w:szCs w:val="21"/>
        </w:rPr>
        <w:t xml:space="preserve"> </w:t>
      </w:r>
      <w:r w:rsidRPr="00E46A61">
        <w:rPr>
          <w:sz w:val="21"/>
          <w:szCs w:val="21"/>
        </w:rPr>
        <w:t>de</w:t>
      </w:r>
      <w:r w:rsidRPr="00E46A61">
        <w:rPr>
          <w:spacing w:val="-3"/>
          <w:sz w:val="21"/>
          <w:szCs w:val="21"/>
        </w:rPr>
        <w:t xml:space="preserve"> </w:t>
      </w:r>
      <w:r w:rsidRPr="00E46A61">
        <w:rPr>
          <w:sz w:val="21"/>
          <w:szCs w:val="21"/>
        </w:rPr>
        <w:t>La Cruz</w:t>
      </w:r>
      <w:r w:rsidRPr="00E46A61">
        <w:rPr>
          <w:spacing w:val="-2"/>
          <w:sz w:val="21"/>
          <w:szCs w:val="21"/>
        </w:rPr>
        <w:t xml:space="preserve"> </w:t>
      </w:r>
      <w:r w:rsidRPr="00E46A61">
        <w:rPr>
          <w:sz w:val="21"/>
          <w:szCs w:val="21"/>
        </w:rPr>
        <w:t>(2010-2011)</w:t>
      </w:r>
      <w:r w:rsidRPr="00E46A61">
        <w:rPr>
          <w:spacing w:val="-3"/>
          <w:sz w:val="21"/>
          <w:szCs w:val="21"/>
        </w:rPr>
        <w:t xml:space="preserve"> </w:t>
      </w:r>
      <w:r w:rsidRPr="00E46A61">
        <w:rPr>
          <w:sz w:val="21"/>
          <w:szCs w:val="21"/>
        </w:rPr>
        <w:t>con</w:t>
      </w:r>
      <w:r w:rsidRPr="00E46A61">
        <w:rPr>
          <w:spacing w:val="-1"/>
          <w:sz w:val="21"/>
          <w:szCs w:val="21"/>
        </w:rPr>
        <w:t xml:space="preserve"> </w:t>
      </w:r>
      <w:r w:rsidRPr="00E46A61">
        <w:rPr>
          <w:sz w:val="21"/>
          <w:szCs w:val="21"/>
        </w:rPr>
        <w:t>niveles</w:t>
      </w:r>
      <w:r w:rsidRPr="00E46A61">
        <w:rPr>
          <w:spacing w:val="-2"/>
          <w:sz w:val="21"/>
          <w:szCs w:val="21"/>
        </w:rPr>
        <w:t xml:space="preserve"> </w:t>
      </w:r>
      <w:r w:rsidRPr="00E46A61">
        <w:rPr>
          <w:sz w:val="21"/>
          <w:szCs w:val="21"/>
        </w:rPr>
        <w:t>superiores</w:t>
      </w:r>
      <w:r w:rsidRPr="00E46A61">
        <w:rPr>
          <w:spacing w:val="-2"/>
          <w:sz w:val="21"/>
          <w:szCs w:val="21"/>
        </w:rPr>
        <w:t xml:space="preserve"> </w:t>
      </w:r>
      <w:r w:rsidRPr="00E46A61">
        <w:rPr>
          <w:sz w:val="21"/>
          <w:szCs w:val="21"/>
        </w:rPr>
        <w:t>al valor</w:t>
      </w:r>
      <w:r w:rsidRPr="00E46A61">
        <w:rPr>
          <w:spacing w:val="-3"/>
          <w:sz w:val="21"/>
          <w:szCs w:val="21"/>
        </w:rPr>
        <w:t xml:space="preserve"> </w:t>
      </w:r>
      <w:r w:rsidRPr="00E46A61">
        <w:rPr>
          <w:sz w:val="21"/>
          <w:szCs w:val="21"/>
        </w:rPr>
        <w:t>de</w:t>
      </w:r>
      <w:r w:rsidRPr="00E46A61">
        <w:rPr>
          <w:spacing w:val="-1"/>
          <w:sz w:val="21"/>
          <w:szCs w:val="21"/>
        </w:rPr>
        <w:t xml:space="preserve"> </w:t>
      </w:r>
      <w:r w:rsidRPr="00E46A61">
        <w:rPr>
          <w:sz w:val="21"/>
          <w:szCs w:val="21"/>
        </w:rPr>
        <w:t xml:space="preserve">la norma (10 µg/L), que se supone es de origen volcánico, e hidrocarburos en un pozo privado ubicado frente a la estación gasolinera “El Lago” en Tillarán </w:t>
      </w:r>
      <w:r w:rsidRPr="00E46A61">
        <w:rPr>
          <w:spacing w:val="-2"/>
          <w:sz w:val="21"/>
          <w:szCs w:val="21"/>
        </w:rPr>
        <w:t>(2011).</w:t>
      </w:r>
      <w:r w:rsidR="004843C0" w:rsidRPr="00E46A61">
        <w:rPr>
          <w:spacing w:val="-2"/>
          <w:sz w:val="21"/>
          <w:szCs w:val="21"/>
        </w:rPr>
        <w:t xml:space="preserve"> </w:t>
      </w:r>
    </w:p>
    <w:p w14:paraId="20E8E48D" w14:textId="4BD3D974" w:rsidR="009F494D" w:rsidRPr="00E46A61" w:rsidRDefault="004843C0" w:rsidP="00CF014A">
      <w:pPr>
        <w:pStyle w:val="Textoindependiente"/>
        <w:spacing w:before="115" w:line="276" w:lineRule="auto"/>
        <w:ind w:left="0" w:right="107"/>
        <w:rPr>
          <w:sz w:val="21"/>
          <w:szCs w:val="21"/>
        </w:rPr>
      </w:pPr>
      <w:r w:rsidRPr="00E46A61">
        <w:rPr>
          <w:sz w:val="21"/>
          <w:szCs w:val="21"/>
        </w:rPr>
        <w:t>Actualmente, a partir del 22/01/2024, debido a una contaminación por</w:t>
      </w:r>
      <w:r w:rsidR="009F494D" w:rsidRPr="00E46A61">
        <w:rPr>
          <w:sz w:val="21"/>
          <w:szCs w:val="21"/>
        </w:rPr>
        <w:t xml:space="preserve"> </w:t>
      </w:r>
      <w:r w:rsidRPr="00E46A61">
        <w:rPr>
          <w:sz w:val="21"/>
          <w:szCs w:val="21"/>
        </w:rPr>
        <w:t>hidrocarburos totales, en las fuentes de agua o en el propio</w:t>
      </w:r>
      <w:r w:rsidR="00172B30" w:rsidRPr="00E46A61">
        <w:rPr>
          <w:sz w:val="21"/>
          <w:szCs w:val="21"/>
        </w:rPr>
        <w:t xml:space="preserve"> </w:t>
      </w:r>
      <w:r w:rsidRPr="00E46A61">
        <w:rPr>
          <w:sz w:val="21"/>
          <w:szCs w:val="21"/>
        </w:rPr>
        <w:t>sistema abastecimiento</w:t>
      </w:r>
      <w:r w:rsidR="00EE42CF" w:rsidRPr="00E46A61">
        <w:rPr>
          <w:sz w:val="21"/>
          <w:szCs w:val="21"/>
        </w:rPr>
        <w:t xml:space="preserve"> </w:t>
      </w:r>
      <w:r w:rsidR="00172B30" w:rsidRPr="00E46A61">
        <w:rPr>
          <w:sz w:val="21"/>
          <w:szCs w:val="21"/>
        </w:rPr>
        <w:t>de Guadalupe, Moravia y Tibás.</w:t>
      </w:r>
      <w:r w:rsidRPr="00E46A61">
        <w:rPr>
          <w:sz w:val="21"/>
          <w:szCs w:val="21"/>
        </w:rPr>
        <w:t xml:space="preserve">  </w:t>
      </w:r>
    </w:p>
    <w:p w14:paraId="27F1EC7F" w14:textId="77777777" w:rsidR="00CF014A" w:rsidRPr="00E46A61" w:rsidRDefault="00CF014A" w:rsidP="00CF014A">
      <w:pPr>
        <w:pStyle w:val="Textoindependiente"/>
        <w:spacing w:before="76" w:line="276" w:lineRule="auto"/>
        <w:ind w:left="0" w:right="109"/>
        <w:rPr>
          <w:sz w:val="21"/>
          <w:szCs w:val="21"/>
        </w:rPr>
      </w:pPr>
    </w:p>
    <w:p w14:paraId="03A0CA05" w14:textId="435ED3D8" w:rsidR="00CF014A" w:rsidRPr="00E46A61" w:rsidRDefault="00CF014A" w:rsidP="00CF014A">
      <w:pPr>
        <w:pStyle w:val="Textoindependiente"/>
        <w:spacing w:before="76" w:line="276" w:lineRule="auto"/>
        <w:ind w:left="0" w:right="109"/>
        <w:rPr>
          <w:sz w:val="21"/>
          <w:szCs w:val="21"/>
        </w:rPr>
      </w:pPr>
      <w:r w:rsidRPr="00E46A61">
        <w:rPr>
          <w:sz w:val="21"/>
          <w:szCs w:val="21"/>
        </w:rPr>
        <w:t>Estos episodios de contaminación son concordantes con el período de transición ambiental de un país subdesarrollado a uno en vías de</w:t>
      </w:r>
      <w:r w:rsidRPr="00E46A61">
        <w:rPr>
          <w:spacing w:val="-1"/>
          <w:sz w:val="21"/>
          <w:szCs w:val="21"/>
        </w:rPr>
        <w:t xml:space="preserve"> </w:t>
      </w:r>
      <w:r w:rsidRPr="00E46A61">
        <w:rPr>
          <w:sz w:val="21"/>
          <w:szCs w:val="21"/>
        </w:rPr>
        <w:t>desarrollo, en donde aún prevalece la contaminación fecal, pero que comienza a sufrir contaminaciones de otros tipos que ponen en riesgo la salud humana, por lo que es necesario:</w:t>
      </w:r>
    </w:p>
    <w:p w14:paraId="2B449A77" w14:textId="77777777" w:rsidR="00E156C5" w:rsidRPr="00E46A61" w:rsidRDefault="00E156C5" w:rsidP="00CF014A">
      <w:pPr>
        <w:pStyle w:val="Textoindependiente"/>
        <w:spacing w:before="76" w:line="276" w:lineRule="auto"/>
        <w:ind w:left="0" w:right="109"/>
        <w:rPr>
          <w:sz w:val="21"/>
          <w:szCs w:val="21"/>
        </w:rPr>
      </w:pPr>
    </w:p>
    <w:p w14:paraId="4A72D49E" w14:textId="77777777" w:rsidR="00CF014A" w:rsidRPr="00E46A61" w:rsidRDefault="00CF014A" w:rsidP="00CF014A">
      <w:pPr>
        <w:pStyle w:val="Prrafodelista"/>
        <w:numPr>
          <w:ilvl w:val="0"/>
          <w:numId w:val="1"/>
        </w:numPr>
        <w:tabs>
          <w:tab w:val="left" w:pos="814"/>
          <w:tab w:val="left" w:pos="819"/>
        </w:tabs>
        <w:spacing w:before="122" w:line="276" w:lineRule="auto"/>
        <w:ind w:hanging="356"/>
        <w:rPr>
          <w:sz w:val="21"/>
          <w:szCs w:val="21"/>
        </w:rPr>
      </w:pPr>
      <w:r w:rsidRPr="00E46A61">
        <w:rPr>
          <w:sz w:val="21"/>
          <w:szCs w:val="21"/>
        </w:rPr>
        <w:tab/>
        <w:t>Implementar</w:t>
      </w:r>
      <w:r w:rsidRPr="00E46A61">
        <w:rPr>
          <w:spacing w:val="-3"/>
          <w:sz w:val="21"/>
          <w:szCs w:val="21"/>
        </w:rPr>
        <w:t xml:space="preserve"> </w:t>
      </w:r>
      <w:r w:rsidRPr="00E46A61">
        <w:rPr>
          <w:sz w:val="21"/>
          <w:szCs w:val="21"/>
        </w:rPr>
        <w:t>“Planes</w:t>
      </w:r>
      <w:r w:rsidRPr="00E46A61">
        <w:rPr>
          <w:spacing w:val="-2"/>
          <w:sz w:val="21"/>
          <w:szCs w:val="21"/>
        </w:rPr>
        <w:t xml:space="preserve"> </w:t>
      </w:r>
      <w:r w:rsidRPr="00E46A61">
        <w:rPr>
          <w:sz w:val="21"/>
          <w:szCs w:val="21"/>
        </w:rPr>
        <w:t>de</w:t>
      </w:r>
      <w:r w:rsidRPr="00E46A61">
        <w:rPr>
          <w:spacing w:val="-1"/>
          <w:sz w:val="21"/>
          <w:szCs w:val="21"/>
        </w:rPr>
        <w:t xml:space="preserve"> </w:t>
      </w:r>
      <w:r w:rsidRPr="00E46A61">
        <w:rPr>
          <w:sz w:val="21"/>
          <w:szCs w:val="21"/>
        </w:rPr>
        <w:t>Seguridad</w:t>
      </w:r>
      <w:r w:rsidRPr="00E46A61">
        <w:rPr>
          <w:spacing w:val="-3"/>
          <w:sz w:val="21"/>
          <w:szCs w:val="21"/>
        </w:rPr>
        <w:t xml:space="preserve"> </w:t>
      </w:r>
      <w:r w:rsidRPr="00E46A61">
        <w:rPr>
          <w:sz w:val="21"/>
          <w:szCs w:val="21"/>
        </w:rPr>
        <w:t>del</w:t>
      </w:r>
      <w:r w:rsidRPr="00E46A61">
        <w:rPr>
          <w:spacing w:val="-2"/>
          <w:sz w:val="21"/>
          <w:szCs w:val="21"/>
        </w:rPr>
        <w:t xml:space="preserve"> </w:t>
      </w:r>
      <w:r w:rsidRPr="00E46A61">
        <w:rPr>
          <w:sz w:val="21"/>
          <w:szCs w:val="21"/>
        </w:rPr>
        <w:t>Agua”</w:t>
      </w:r>
      <w:r w:rsidRPr="00E46A61">
        <w:rPr>
          <w:spacing w:val="-5"/>
          <w:sz w:val="21"/>
          <w:szCs w:val="21"/>
        </w:rPr>
        <w:t xml:space="preserve"> </w:t>
      </w:r>
      <w:r w:rsidRPr="00E46A61">
        <w:rPr>
          <w:sz w:val="21"/>
          <w:szCs w:val="21"/>
        </w:rPr>
        <w:t>en</w:t>
      </w:r>
      <w:r w:rsidRPr="00E46A61">
        <w:rPr>
          <w:spacing w:val="-1"/>
          <w:sz w:val="21"/>
          <w:szCs w:val="21"/>
        </w:rPr>
        <w:t xml:space="preserve"> </w:t>
      </w:r>
      <w:r w:rsidRPr="00E46A61">
        <w:rPr>
          <w:sz w:val="21"/>
          <w:szCs w:val="21"/>
        </w:rPr>
        <w:t>los</w:t>
      </w:r>
      <w:r w:rsidRPr="00E46A61">
        <w:rPr>
          <w:spacing w:val="-3"/>
          <w:sz w:val="21"/>
          <w:szCs w:val="21"/>
        </w:rPr>
        <w:t xml:space="preserve"> </w:t>
      </w:r>
      <w:r w:rsidRPr="00E46A61">
        <w:rPr>
          <w:sz w:val="21"/>
          <w:szCs w:val="21"/>
        </w:rPr>
        <w:t>acueductos</w:t>
      </w:r>
      <w:r w:rsidRPr="00E46A61">
        <w:rPr>
          <w:spacing w:val="-4"/>
          <w:sz w:val="21"/>
          <w:szCs w:val="21"/>
        </w:rPr>
        <w:t xml:space="preserve"> </w:t>
      </w:r>
      <w:r w:rsidRPr="00E46A61">
        <w:rPr>
          <w:sz w:val="21"/>
          <w:szCs w:val="21"/>
        </w:rPr>
        <w:t>del</w:t>
      </w:r>
      <w:r w:rsidRPr="00E46A61">
        <w:rPr>
          <w:spacing w:val="-5"/>
          <w:sz w:val="21"/>
          <w:szCs w:val="21"/>
        </w:rPr>
        <w:t xml:space="preserve"> </w:t>
      </w:r>
      <w:r w:rsidRPr="00E46A61">
        <w:rPr>
          <w:sz w:val="21"/>
          <w:szCs w:val="21"/>
        </w:rPr>
        <w:t>país, con el propósito de identificar los riesgos de contaminación en las cuencas o fuentes de agua, sistemas de potabilización, tanques de almacenamiento, redes de distribución y el manejo adecuado del agua en el hogar, ubicando “barreras” para minimizar la contaminación.</w:t>
      </w:r>
    </w:p>
    <w:p w14:paraId="32539115" w14:textId="77777777" w:rsidR="00CF014A" w:rsidRPr="00E46A61" w:rsidRDefault="00CF014A" w:rsidP="00CF014A">
      <w:pPr>
        <w:pStyle w:val="Prrafodelista"/>
        <w:numPr>
          <w:ilvl w:val="0"/>
          <w:numId w:val="1"/>
        </w:numPr>
        <w:tabs>
          <w:tab w:val="left" w:pos="814"/>
          <w:tab w:val="left" w:pos="819"/>
        </w:tabs>
        <w:spacing w:line="276" w:lineRule="auto"/>
        <w:ind w:hanging="356"/>
        <w:rPr>
          <w:sz w:val="21"/>
          <w:szCs w:val="21"/>
        </w:rPr>
      </w:pPr>
      <w:r w:rsidRPr="00E46A61">
        <w:rPr>
          <w:sz w:val="21"/>
          <w:szCs w:val="21"/>
        </w:rPr>
        <w:tab/>
        <w:t>La aprobación de una nueva “Ley de Aguas”, pero sobre todo la aplicación de las leyes vigentes por parte de las autoridades sanitarias.</w:t>
      </w:r>
    </w:p>
    <w:p w14:paraId="4AF1AABF" w14:textId="53ACE9C0" w:rsidR="00CF014A" w:rsidRPr="00E46A61" w:rsidRDefault="00CF014A" w:rsidP="00C6417C">
      <w:pPr>
        <w:pStyle w:val="Textoindependiente"/>
        <w:spacing w:before="239" w:line="276" w:lineRule="auto"/>
        <w:ind w:left="0" w:right="108"/>
        <w:rPr>
          <w:sz w:val="21"/>
          <w:szCs w:val="21"/>
        </w:rPr>
      </w:pPr>
      <w:r w:rsidRPr="00E46A61">
        <w:rPr>
          <w:sz w:val="21"/>
          <w:szCs w:val="21"/>
        </w:rPr>
        <w:t>En vista de lo expuesto, es imprescindible que los industriales y agricultores apliquen su sabiduría y sentido común para evitar la contaminación de las fuentes de agua, porque esta situación podría afectar más adelante a sus propios hijos, nietos y a la población costarricense en general.</w:t>
      </w:r>
    </w:p>
    <w:sectPr w:rsidR="00CF014A" w:rsidRPr="00E46A61" w:rsidSect="00174607">
      <w:footerReference w:type="default" r:id="rId7"/>
      <w:pgSz w:w="11900" w:h="16840"/>
      <w:pgMar w:top="1440" w:right="1080" w:bottom="1440" w:left="1080" w:header="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6FD3" w14:textId="77777777" w:rsidR="00495F86" w:rsidRDefault="00495F86">
      <w:r>
        <w:separator/>
      </w:r>
    </w:p>
  </w:endnote>
  <w:endnote w:type="continuationSeparator" w:id="0">
    <w:p w14:paraId="318AACAF" w14:textId="77777777" w:rsidR="00495F86" w:rsidRDefault="0049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9B4C" w14:textId="5F5C4E3E" w:rsidR="00FC28C7" w:rsidRDefault="00FC28C7">
    <w:pPr>
      <w:pStyle w:val="Textoindependiente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A997" w14:textId="77777777" w:rsidR="00495F86" w:rsidRDefault="00495F86">
      <w:r>
        <w:separator/>
      </w:r>
    </w:p>
  </w:footnote>
  <w:footnote w:type="continuationSeparator" w:id="0">
    <w:p w14:paraId="2DB254D9" w14:textId="77777777" w:rsidR="00495F86" w:rsidRDefault="00495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D9B"/>
    <w:multiLevelType w:val="hybridMultilevel"/>
    <w:tmpl w:val="D2963C02"/>
    <w:lvl w:ilvl="0" w:tplc="A75289E4">
      <w:numFmt w:val="bullet"/>
      <w:lvlText w:val="•"/>
      <w:lvlJc w:val="left"/>
      <w:pPr>
        <w:ind w:left="814" w:hanging="36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4"/>
        <w:szCs w:val="24"/>
        <w:lang w:val="es-ES" w:eastAsia="en-US" w:bidi="ar-SA"/>
      </w:rPr>
    </w:lvl>
    <w:lvl w:ilvl="1" w:tplc="560437FC">
      <w:numFmt w:val="bullet"/>
      <w:lvlText w:val="•"/>
      <w:lvlJc w:val="left"/>
      <w:pPr>
        <w:ind w:left="1610" w:hanging="363"/>
      </w:pPr>
      <w:rPr>
        <w:rFonts w:hint="default"/>
        <w:lang w:val="es-ES" w:eastAsia="en-US" w:bidi="ar-SA"/>
      </w:rPr>
    </w:lvl>
    <w:lvl w:ilvl="2" w:tplc="13E2409A">
      <w:numFmt w:val="bullet"/>
      <w:lvlText w:val="•"/>
      <w:lvlJc w:val="left"/>
      <w:pPr>
        <w:ind w:left="2400" w:hanging="363"/>
      </w:pPr>
      <w:rPr>
        <w:rFonts w:hint="default"/>
        <w:lang w:val="es-ES" w:eastAsia="en-US" w:bidi="ar-SA"/>
      </w:rPr>
    </w:lvl>
    <w:lvl w:ilvl="3" w:tplc="B21EC442">
      <w:numFmt w:val="bullet"/>
      <w:lvlText w:val="•"/>
      <w:lvlJc w:val="left"/>
      <w:pPr>
        <w:ind w:left="3190" w:hanging="363"/>
      </w:pPr>
      <w:rPr>
        <w:rFonts w:hint="default"/>
        <w:lang w:val="es-ES" w:eastAsia="en-US" w:bidi="ar-SA"/>
      </w:rPr>
    </w:lvl>
    <w:lvl w:ilvl="4" w:tplc="BDB2CD18">
      <w:numFmt w:val="bullet"/>
      <w:lvlText w:val="•"/>
      <w:lvlJc w:val="left"/>
      <w:pPr>
        <w:ind w:left="3980" w:hanging="363"/>
      </w:pPr>
      <w:rPr>
        <w:rFonts w:hint="default"/>
        <w:lang w:val="es-ES" w:eastAsia="en-US" w:bidi="ar-SA"/>
      </w:rPr>
    </w:lvl>
    <w:lvl w:ilvl="5" w:tplc="AF3C449A">
      <w:numFmt w:val="bullet"/>
      <w:lvlText w:val="•"/>
      <w:lvlJc w:val="left"/>
      <w:pPr>
        <w:ind w:left="4770" w:hanging="363"/>
      </w:pPr>
      <w:rPr>
        <w:rFonts w:hint="default"/>
        <w:lang w:val="es-ES" w:eastAsia="en-US" w:bidi="ar-SA"/>
      </w:rPr>
    </w:lvl>
    <w:lvl w:ilvl="6" w:tplc="4D74B2C2">
      <w:numFmt w:val="bullet"/>
      <w:lvlText w:val="•"/>
      <w:lvlJc w:val="left"/>
      <w:pPr>
        <w:ind w:left="5560" w:hanging="363"/>
      </w:pPr>
      <w:rPr>
        <w:rFonts w:hint="default"/>
        <w:lang w:val="es-ES" w:eastAsia="en-US" w:bidi="ar-SA"/>
      </w:rPr>
    </w:lvl>
    <w:lvl w:ilvl="7" w:tplc="3336E8F6">
      <w:numFmt w:val="bullet"/>
      <w:lvlText w:val="•"/>
      <w:lvlJc w:val="left"/>
      <w:pPr>
        <w:ind w:left="6350" w:hanging="363"/>
      </w:pPr>
      <w:rPr>
        <w:rFonts w:hint="default"/>
        <w:lang w:val="es-ES" w:eastAsia="en-US" w:bidi="ar-SA"/>
      </w:rPr>
    </w:lvl>
    <w:lvl w:ilvl="8" w:tplc="E1946738">
      <w:numFmt w:val="bullet"/>
      <w:lvlText w:val="•"/>
      <w:lvlJc w:val="left"/>
      <w:pPr>
        <w:ind w:left="7140" w:hanging="363"/>
      </w:pPr>
      <w:rPr>
        <w:rFonts w:hint="default"/>
        <w:lang w:val="es-ES" w:eastAsia="en-US" w:bidi="ar-SA"/>
      </w:rPr>
    </w:lvl>
  </w:abstractNum>
  <w:num w:numId="1" w16cid:durableId="134882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C7"/>
    <w:rsid w:val="00085E66"/>
    <w:rsid w:val="00120148"/>
    <w:rsid w:val="0015175F"/>
    <w:rsid w:val="00172B30"/>
    <w:rsid w:val="00174607"/>
    <w:rsid w:val="001A0677"/>
    <w:rsid w:val="001D33D2"/>
    <w:rsid w:val="002177C0"/>
    <w:rsid w:val="002F493E"/>
    <w:rsid w:val="003F23F3"/>
    <w:rsid w:val="003F2B64"/>
    <w:rsid w:val="00431AB4"/>
    <w:rsid w:val="004843C0"/>
    <w:rsid w:val="00495F86"/>
    <w:rsid w:val="0054092C"/>
    <w:rsid w:val="005B2761"/>
    <w:rsid w:val="006E77A7"/>
    <w:rsid w:val="0072715D"/>
    <w:rsid w:val="00760F79"/>
    <w:rsid w:val="00770376"/>
    <w:rsid w:val="008063C7"/>
    <w:rsid w:val="008222FB"/>
    <w:rsid w:val="0082466A"/>
    <w:rsid w:val="008274AD"/>
    <w:rsid w:val="00851814"/>
    <w:rsid w:val="008705F1"/>
    <w:rsid w:val="008C71FE"/>
    <w:rsid w:val="009F494D"/>
    <w:rsid w:val="00A8422D"/>
    <w:rsid w:val="00AF4824"/>
    <w:rsid w:val="00BB03A9"/>
    <w:rsid w:val="00BF0F6B"/>
    <w:rsid w:val="00C6417C"/>
    <w:rsid w:val="00CD5CCD"/>
    <w:rsid w:val="00CF014A"/>
    <w:rsid w:val="00CF34C4"/>
    <w:rsid w:val="00D0295B"/>
    <w:rsid w:val="00DD7822"/>
    <w:rsid w:val="00E01666"/>
    <w:rsid w:val="00E12DE9"/>
    <w:rsid w:val="00E156C5"/>
    <w:rsid w:val="00E46A61"/>
    <w:rsid w:val="00E7484F"/>
    <w:rsid w:val="00EE42CF"/>
    <w:rsid w:val="00FB4885"/>
    <w:rsid w:val="00FC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8FDB5"/>
  <w15:docId w15:val="{FE582BA2-9DD6-4EE9-9214-1993AB66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6"/>
      <w:ind w:right="1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814" w:right="111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517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75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7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75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FAC5C15E3AE2429973591846F4340E" ma:contentTypeVersion="3" ma:contentTypeDescription="Crear nuevo documento." ma:contentTypeScope="" ma:versionID="5729203b93777b440e5d0164153e3f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43592f6a6e75655b09be262e55608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6F722E-9C12-4728-91B7-E63043AEEDEB}"/>
</file>

<file path=customXml/itemProps2.xml><?xml version="1.0" encoding="utf-8"?>
<ds:datastoreItem xmlns:ds="http://schemas.openxmlformats.org/officeDocument/2006/customXml" ds:itemID="{15A8B591-63D7-494E-AC63-9876AAEBB721}"/>
</file>

<file path=customXml/itemProps3.xml><?xml version="1.0" encoding="utf-8"?>
<ds:datastoreItem xmlns:ds="http://schemas.openxmlformats.org/officeDocument/2006/customXml" ds:itemID="{732F8477-3B71-4429-819E-30981A0B8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AGUA EPISODIOS DE CONTAMINACION QUIMICA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AGUA EPISODIOS DE CONTAMINACION QUIMICA</dc:title>
  <dc:creator>marirodriguez</dc:creator>
  <cp:lastModifiedBy>Dilmar Corella Corella</cp:lastModifiedBy>
  <cp:revision>19</cp:revision>
  <dcterms:created xsi:type="dcterms:W3CDTF">2024-03-06T14:11:00Z</dcterms:created>
  <dcterms:modified xsi:type="dcterms:W3CDTF">2024-03-06T15:32:00Z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2024-01-30T00:00:00Z</vt:filetime>
  </property>
  <property fmtid="{D5CDD505-2E9C-101B-9397-08002B2CF9AE}" pid="5" name="Producer">
    <vt:lpwstr>GPL Ghostscript 8.61</vt:lpwstr>
  </property>
  <property fmtid="{D5CDD505-2E9C-101B-9397-08002B2CF9AE}" pid="6" name="ContentTypeId">
    <vt:lpwstr>0x01010064FAC5C15E3AE2429973591846F4340E</vt:lpwstr>
  </property>
</Properties>
</file>